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D6" w:rsidRDefault="008F5ED6" w:rsidP="00176C78">
      <w:pPr>
        <w:jc w:val="right"/>
        <w:rPr>
          <w:rFonts w:ascii="Times New Roman" w:hAnsi="Times New Roman" w:cs="Times New Roman"/>
          <w:sz w:val="28"/>
          <w:szCs w:val="28"/>
        </w:rPr>
      </w:pPr>
      <w:r w:rsidRPr="00176C78">
        <w:rPr>
          <w:rFonts w:ascii="Times New Roman" w:hAnsi="Times New Roman" w:cs="Times New Roman"/>
          <w:sz w:val="28"/>
          <w:szCs w:val="28"/>
        </w:rPr>
        <w:t>1.tabula</w:t>
      </w:r>
    </w:p>
    <w:p w:rsidR="008F5ED6" w:rsidRPr="00176C78" w:rsidRDefault="008F5ED6" w:rsidP="00176C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5ED6" w:rsidRPr="008F41BE" w:rsidRDefault="008F5ED6" w:rsidP="00176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9"/>
      <w:bookmarkStart w:id="1" w:name="OLE_LINK10"/>
      <w:r>
        <w:rPr>
          <w:rFonts w:ascii="Times New Roman" w:hAnsi="Times New Roman" w:cs="Times New Roman"/>
          <w:b/>
          <w:bCs/>
          <w:sz w:val="28"/>
          <w:szCs w:val="28"/>
        </w:rPr>
        <w:t>Amatu iedalījums amatu grupās atbilstoši pamatfunkcijām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0"/>
      </w:tblGrid>
      <w:tr w:rsidR="008F5ED6" w:rsidRPr="001241FF">
        <w:tc>
          <w:tcPr>
            <w:tcW w:w="817" w:type="dxa"/>
            <w:shd w:val="clear" w:color="auto" w:fill="FFFFFF"/>
          </w:tcPr>
          <w:bookmarkEnd w:id="0"/>
          <w:bookmarkEnd w:id="1"/>
          <w:p w:rsidR="008F5ED6" w:rsidRPr="001241FF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5670" w:type="dxa"/>
            <w:shd w:val="clear" w:color="auto" w:fill="FFFFFF"/>
          </w:tcPr>
          <w:p w:rsidR="008F5ED6" w:rsidRPr="001241FF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Amata pamatfunkcija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Administratīvā funkcija</w:t>
            </w:r>
          </w:p>
        </w:tc>
        <w:bookmarkStart w:id="2" w:name="_GoBack"/>
        <w:bookmarkEnd w:id="2"/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Grāmatvedības un finanšu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Iekšējais audits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Informācijas tehnoloģiju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Juridiskā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 xml:space="preserve">Komunikācija un sabiedriskās attiecības 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Lietvedības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Pamatdarbības funkcija</w:t>
            </w:r>
            <w:r w:rsidRPr="001241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Personālvadības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Saimnieciskā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Sekretariāta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Pamatdarbības tehniskais nodrošinājums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Apsardzes un drošuma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Biznesa attīstības funkcija</w:t>
            </w:r>
          </w:p>
        </w:tc>
      </w:tr>
      <w:tr w:rsidR="008F5ED6" w:rsidRPr="001241FF">
        <w:tc>
          <w:tcPr>
            <w:tcW w:w="817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F5ED6" w:rsidRPr="001241FF" w:rsidRDefault="008F5ED6" w:rsidP="0012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FF">
              <w:rPr>
                <w:rFonts w:ascii="Times New Roman" w:hAnsi="Times New Roman" w:cs="Times New Roman"/>
                <w:sz w:val="28"/>
                <w:szCs w:val="28"/>
              </w:rPr>
              <w:t>Kvalitātes vadības funkcija</w:t>
            </w:r>
          </w:p>
        </w:tc>
      </w:tr>
    </w:tbl>
    <w:p w:rsidR="008F5ED6" w:rsidRDefault="008F5ED6" w:rsidP="00176C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Pr="0053518A" w:rsidRDefault="008F5ED6" w:rsidP="00176C78">
      <w:pPr>
        <w:rPr>
          <w:rFonts w:ascii="Times New Roman" w:hAnsi="Times New Roman" w:cs="Times New Roman"/>
          <w:sz w:val="28"/>
          <w:szCs w:val="28"/>
        </w:rPr>
      </w:pPr>
      <w:r w:rsidRPr="00E02B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18A">
        <w:rPr>
          <w:rFonts w:ascii="Times New Roman" w:hAnsi="Times New Roman" w:cs="Times New Roman"/>
          <w:sz w:val="28"/>
          <w:szCs w:val="28"/>
        </w:rPr>
        <w:t>Ja institūcijai ir vairākas pamatdarbības funkcijas, tad norāda katru no tām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7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ED6" w:rsidRDefault="008F5ED6" w:rsidP="0017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ED6" w:rsidRDefault="008F5ED6" w:rsidP="0017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ED6" w:rsidRDefault="008F5ED6" w:rsidP="0017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ED6" w:rsidRDefault="008F5ED6" w:rsidP="0017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ED6" w:rsidRPr="00176C78" w:rsidRDefault="008F5ED6" w:rsidP="0017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C78">
        <w:rPr>
          <w:rFonts w:ascii="Times New Roman" w:hAnsi="Times New Roman" w:cs="Times New Roman"/>
          <w:sz w:val="28"/>
          <w:szCs w:val="28"/>
        </w:rPr>
        <w:lastRenderedPageBreak/>
        <w:t xml:space="preserve">2.tabula </w:t>
      </w:r>
    </w:p>
    <w:p w:rsidR="008F5ED6" w:rsidRPr="00176C78" w:rsidRDefault="008F5ED6" w:rsidP="000C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D6" w:rsidRPr="001D76AC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OLE_LINK11"/>
      <w:bookmarkStart w:id="4" w:name="OLE_LINK12"/>
      <w:r w:rsidRPr="001D76AC">
        <w:rPr>
          <w:rFonts w:ascii="Times New Roman" w:hAnsi="Times New Roman" w:cs="Times New Roman"/>
          <w:b/>
          <w:bCs/>
          <w:sz w:val="28"/>
          <w:szCs w:val="28"/>
        </w:rPr>
        <w:t>Informācija par amatpersonu un darbinieku mēnešalgas</w:t>
      </w:r>
      <w:proofErr w:type="gramStart"/>
      <w:r w:rsidRPr="001D76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Pr="001D76AC">
        <w:rPr>
          <w:rFonts w:ascii="Times New Roman" w:hAnsi="Times New Roman" w:cs="Times New Roman"/>
          <w:b/>
          <w:bCs/>
          <w:sz w:val="28"/>
          <w:szCs w:val="28"/>
        </w:rPr>
        <w:t>(mēneša darba algas, amatalgas) apmēru</w:t>
      </w:r>
      <w:r w:rsidRPr="00C243CA">
        <w:rPr>
          <w:rFonts w:ascii="Times New Roman" w:hAnsi="Times New Roman" w:cs="Times New Roman"/>
          <w:b/>
          <w:bCs/>
          <w:sz w:val="28"/>
          <w:szCs w:val="28"/>
        </w:rPr>
        <w:t xml:space="preserve"> sadalījumā pa amatu grupām</w:t>
      </w:r>
      <w:r w:rsidRPr="001D76AC">
        <w:rPr>
          <w:rFonts w:ascii="Times New Roman" w:hAnsi="Times New Roman" w:cs="Times New Roman"/>
          <w:b/>
          <w:bCs/>
          <w:sz w:val="28"/>
          <w:szCs w:val="28"/>
        </w:rPr>
        <w:t xml:space="preserve"> (bruto,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euro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3"/>
    <w:bookmarkEnd w:id="4"/>
    <w:p w:rsidR="008F5ED6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Pr="001D76AC" w:rsidRDefault="008F5ED6" w:rsidP="001D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7"/>
        <w:gridCol w:w="1984"/>
        <w:gridCol w:w="1929"/>
        <w:gridCol w:w="1622"/>
      </w:tblGrid>
      <w:tr w:rsidR="008F5ED6" w:rsidRPr="00AB747A">
        <w:trPr>
          <w:trHeight w:val="1165"/>
          <w:jc w:val="center"/>
        </w:trPr>
        <w:tc>
          <w:tcPr>
            <w:tcW w:w="2987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Amata pamatfunkcija</w:t>
            </w:r>
          </w:p>
        </w:tc>
        <w:tc>
          <w:tcPr>
            <w:tcW w:w="1984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Amatu skaits</w:t>
            </w:r>
            <w:r w:rsidRPr="00AB74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9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Mēnešalgas diapazons (no-līdz)</w:t>
            </w:r>
            <w:r w:rsidRPr="00AB74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22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Vidējā</w:t>
            </w:r>
          </w:p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mēnešalga</w:t>
            </w:r>
          </w:p>
        </w:tc>
      </w:tr>
      <w:tr w:rsidR="008F5ED6" w:rsidRPr="00AB747A">
        <w:trPr>
          <w:jc w:val="center"/>
        </w:trPr>
        <w:tc>
          <w:tcPr>
            <w:tcW w:w="2987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dxa"/>
          </w:tcPr>
          <w:p w:rsidR="008F5ED6" w:rsidRPr="00AB747A" w:rsidRDefault="008F5ED6" w:rsidP="00124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ED6" w:rsidRPr="00AB747A">
        <w:trPr>
          <w:jc w:val="center"/>
        </w:trPr>
        <w:tc>
          <w:tcPr>
            <w:tcW w:w="2987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Administratīvā funkcija</w:t>
            </w:r>
          </w:p>
        </w:tc>
        <w:tc>
          <w:tcPr>
            <w:tcW w:w="1984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  <w:tc>
          <w:tcPr>
            <w:tcW w:w="1622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</w:tr>
      <w:tr w:rsidR="008F5ED6" w:rsidRPr="00AB747A">
        <w:trPr>
          <w:jc w:val="center"/>
        </w:trPr>
        <w:tc>
          <w:tcPr>
            <w:tcW w:w="2987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Informācijas tehnoloģiju funkcija</w:t>
            </w:r>
          </w:p>
        </w:tc>
        <w:tc>
          <w:tcPr>
            <w:tcW w:w="1984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1622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8F5ED6" w:rsidRPr="00AB747A">
        <w:trPr>
          <w:jc w:val="center"/>
        </w:trPr>
        <w:tc>
          <w:tcPr>
            <w:tcW w:w="2987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Lietvedības funkcija</w:t>
            </w:r>
          </w:p>
        </w:tc>
        <w:tc>
          <w:tcPr>
            <w:tcW w:w="1984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622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8F5ED6" w:rsidRPr="00AB747A">
        <w:trPr>
          <w:jc w:val="center"/>
        </w:trPr>
        <w:tc>
          <w:tcPr>
            <w:tcW w:w="2987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Saimnieciskā funkcija</w:t>
            </w:r>
          </w:p>
        </w:tc>
        <w:tc>
          <w:tcPr>
            <w:tcW w:w="1984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1622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</w:tr>
      <w:tr w:rsidR="008F5ED6" w:rsidRPr="00AB747A">
        <w:trPr>
          <w:jc w:val="center"/>
        </w:trPr>
        <w:tc>
          <w:tcPr>
            <w:tcW w:w="2987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Pamatdarbības tehniskais nodrošinājums</w:t>
            </w:r>
          </w:p>
        </w:tc>
        <w:tc>
          <w:tcPr>
            <w:tcW w:w="1984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622" w:type="dxa"/>
          </w:tcPr>
          <w:p w:rsidR="008F5ED6" w:rsidRPr="00AB747A" w:rsidRDefault="008F5ED6" w:rsidP="0013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8F5ED6" w:rsidRPr="001241FF">
        <w:trPr>
          <w:jc w:val="center"/>
        </w:trPr>
        <w:tc>
          <w:tcPr>
            <w:tcW w:w="2987" w:type="dxa"/>
          </w:tcPr>
          <w:p w:rsidR="008F5ED6" w:rsidRPr="00AB747A" w:rsidRDefault="008F5ED6" w:rsidP="008C5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7A">
              <w:rPr>
                <w:rFonts w:ascii="Times New Roman" w:hAnsi="Times New Roman" w:cs="Times New Roman"/>
                <w:sz w:val="28"/>
                <w:szCs w:val="28"/>
              </w:rPr>
              <w:t>Pamatdarbības funkcija</w:t>
            </w:r>
            <w:r w:rsidRPr="00AB74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8F5ED6" w:rsidRPr="00AB747A" w:rsidRDefault="008F5ED6" w:rsidP="008C5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9" w:type="dxa"/>
          </w:tcPr>
          <w:p w:rsidR="008F5ED6" w:rsidRPr="00AB747A" w:rsidRDefault="00C00E0C" w:rsidP="008C5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555-1594</w:t>
            </w:r>
          </w:p>
        </w:tc>
        <w:tc>
          <w:tcPr>
            <w:tcW w:w="1622" w:type="dxa"/>
          </w:tcPr>
          <w:p w:rsidR="008F5ED6" w:rsidRPr="001241FF" w:rsidRDefault="00C00E0C" w:rsidP="00D8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D82731">
              <w:rPr>
                <w:rFonts w:ascii="Times New Roman" w:hAnsi="Times New Roman" w:cs="Times New Roman"/>
                <w:sz w:val="28"/>
                <w:szCs w:val="28"/>
              </w:rPr>
              <w:t>3.90</w:t>
            </w:r>
          </w:p>
        </w:tc>
      </w:tr>
    </w:tbl>
    <w:p w:rsidR="008F5ED6" w:rsidRPr="001D76AC" w:rsidRDefault="008F5ED6" w:rsidP="001D7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Pr="001D76AC" w:rsidRDefault="008F5ED6" w:rsidP="001D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D76AC">
        <w:rPr>
          <w:rFonts w:ascii="Times New Roman" w:hAnsi="Times New Roman" w:cs="Times New Roman"/>
          <w:sz w:val="28"/>
          <w:szCs w:val="28"/>
        </w:rPr>
        <w:t xml:space="preserve"> Ja institūcijā attiecīgajai amatu funkcijai atbilst vairāki vienāda nosaukuma amati, norāda to kopskaitu, neizdalot katru atsevišķi.</w:t>
      </w:r>
    </w:p>
    <w:p w:rsidR="008F5ED6" w:rsidRPr="001D76AC" w:rsidRDefault="008F5ED6" w:rsidP="001D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A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D76AC">
        <w:rPr>
          <w:rFonts w:ascii="Times New Roman" w:hAnsi="Times New Roman" w:cs="Times New Roman"/>
          <w:sz w:val="28"/>
          <w:szCs w:val="28"/>
        </w:rPr>
        <w:t xml:space="preserve">Ja institūcijā attiecīgajai amatu funkcijai atbilst vairāki vienāda nosaukuma amati, tad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76AC">
        <w:rPr>
          <w:rFonts w:ascii="Times New Roman" w:hAnsi="Times New Roman" w:cs="Times New Roman"/>
          <w:sz w:val="28"/>
          <w:szCs w:val="28"/>
        </w:rPr>
        <w:t xml:space="preserve">.kolonnā norāda attiecīgo amatpersonu (darbinieku) zemāko un augstāko mēnešalgu. Ja konkrēta nosaukuma amats ir viens, tad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76AC">
        <w:rPr>
          <w:rFonts w:ascii="Times New Roman" w:hAnsi="Times New Roman" w:cs="Times New Roman"/>
          <w:sz w:val="28"/>
          <w:szCs w:val="28"/>
        </w:rPr>
        <w:t xml:space="preserve">.kolonnā un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76AC">
        <w:rPr>
          <w:rFonts w:ascii="Times New Roman" w:hAnsi="Times New Roman" w:cs="Times New Roman"/>
          <w:sz w:val="28"/>
          <w:szCs w:val="28"/>
        </w:rPr>
        <w:t>.kolonnā norāda attiecīgās amatpersonas</w:t>
      </w:r>
      <w:r>
        <w:rPr>
          <w:rFonts w:ascii="Times New Roman" w:hAnsi="Times New Roman" w:cs="Times New Roman"/>
          <w:sz w:val="28"/>
          <w:szCs w:val="28"/>
        </w:rPr>
        <w:t xml:space="preserve"> (darbinieka)</w:t>
      </w:r>
      <w:r w:rsidRPr="001D76AC">
        <w:rPr>
          <w:rFonts w:ascii="Times New Roman" w:hAnsi="Times New Roman" w:cs="Times New Roman"/>
          <w:sz w:val="28"/>
          <w:szCs w:val="28"/>
        </w:rPr>
        <w:t xml:space="preserve"> mēnešalgu.  </w:t>
      </w:r>
    </w:p>
    <w:p w:rsidR="008F5ED6" w:rsidRDefault="008F5ED6" w:rsidP="001D7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Pr="001D76AC" w:rsidRDefault="008F5ED6" w:rsidP="001D76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ED6" w:rsidRDefault="008F5ED6" w:rsidP="001D76AC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D6" w:rsidRDefault="008F5ED6" w:rsidP="001D76AC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D6" w:rsidRDefault="008F5ED6" w:rsidP="001D76AC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ED6" w:rsidRPr="001D76AC" w:rsidRDefault="008F5ED6" w:rsidP="001D76AC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5ED6" w:rsidRPr="001D76AC" w:rsidSect="001D76AC">
      <w:footerReference w:type="default" r:id="rId6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73" w:rsidRDefault="00840073" w:rsidP="00DC6098">
      <w:pPr>
        <w:spacing w:after="0" w:line="240" w:lineRule="auto"/>
      </w:pPr>
      <w:r>
        <w:separator/>
      </w:r>
    </w:p>
  </w:endnote>
  <w:endnote w:type="continuationSeparator" w:id="0">
    <w:p w:rsidR="00840073" w:rsidRDefault="00840073" w:rsidP="00DC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D6" w:rsidRPr="0087700A" w:rsidRDefault="008F5ED6" w:rsidP="0087700A">
    <w:pPr>
      <w:pStyle w:val="naislab"/>
      <w:spacing w:before="0" w:after="0"/>
      <w:jc w:val="left"/>
      <w:rPr>
        <w:sz w:val="16"/>
        <w:szCs w:val="16"/>
      </w:rPr>
    </w:pPr>
    <w:r>
      <w:rPr>
        <w:sz w:val="16"/>
        <w:szCs w:val="16"/>
      </w:rPr>
      <w:t>FMIetp4_080610; Ministru kabineta ieteikumu projekta „</w:t>
    </w:r>
    <w:r w:rsidRPr="00AD3A41">
      <w:rPr>
        <w:sz w:val="16"/>
        <w:szCs w:val="16"/>
      </w:rPr>
      <w:t>Ieteikumi par amatpersonu un darbinieku atlīdzības noteikšanas kritēriju un</w:t>
    </w:r>
    <w:proofErr w:type="gramStart"/>
    <w:r w:rsidRPr="00AD3A41">
      <w:rPr>
        <w:sz w:val="16"/>
        <w:szCs w:val="16"/>
      </w:rPr>
      <w:t xml:space="preserve">  </w:t>
    </w:r>
    <w:proofErr w:type="gramEnd"/>
    <w:r w:rsidRPr="00AD3A41">
      <w:rPr>
        <w:sz w:val="16"/>
        <w:szCs w:val="16"/>
      </w:rPr>
      <w:t>darba samaksas apmēra sadalījumā pa amatu grupām publiskošanu</w:t>
    </w:r>
    <w:r>
      <w:rPr>
        <w:sz w:val="16"/>
        <w:szCs w:val="16"/>
      </w:rPr>
      <w:t>” 4.pielikums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73" w:rsidRDefault="00840073" w:rsidP="00DC6098">
      <w:pPr>
        <w:spacing w:after="0" w:line="240" w:lineRule="auto"/>
      </w:pPr>
      <w:r>
        <w:separator/>
      </w:r>
    </w:p>
  </w:footnote>
  <w:footnote w:type="continuationSeparator" w:id="0">
    <w:p w:rsidR="00840073" w:rsidRDefault="00840073" w:rsidP="00DC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9B"/>
    <w:rsid w:val="000120BC"/>
    <w:rsid w:val="00047F4D"/>
    <w:rsid w:val="00061FAB"/>
    <w:rsid w:val="000854AC"/>
    <w:rsid w:val="000A27A8"/>
    <w:rsid w:val="000C129B"/>
    <w:rsid w:val="000C2F13"/>
    <w:rsid w:val="000E5EEA"/>
    <w:rsid w:val="000F7E79"/>
    <w:rsid w:val="00107AAF"/>
    <w:rsid w:val="001144D1"/>
    <w:rsid w:val="001241FF"/>
    <w:rsid w:val="00133EC8"/>
    <w:rsid w:val="001373F4"/>
    <w:rsid w:val="00154992"/>
    <w:rsid w:val="00176C78"/>
    <w:rsid w:val="00192865"/>
    <w:rsid w:val="0019460E"/>
    <w:rsid w:val="001B3930"/>
    <w:rsid w:val="001D76AC"/>
    <w:rsid w:val="001E0AA9"/>
    <w:rsid w:val="001E4823"/>
    <w:rsid w:val="002029F6"/>
    <w:rsid w:val="00203BD8"/>
    <w:rsid w:val="00203EEA"/>
    <w:rsid w:val="002040E2"/>
    <w:rsid w:val="00211B79"/>
    <w:rsid w:val="00214336"/>
    <w:rsid w:val="00227E3E"/>
    <w:rsid w:val="00236B9C"/>
    <w:rsid w:val="00253B5E"/>
    <w:rsid w:val="0025423F"/>
    <w:rsid w:val="00262ADD"/>
    <w:rsid w:val="00286CEC"/>
    <w:rsid w:val="002A07F1"/>
    <w:rsid w:val="002A4168"/>
    <w:rsid w:val="002A79B1"/>
    <w:rsid w:val="002B28ED"/>
    <w:rsid w:val="002F0D0A"/>
    <w:rsid w:val="002F43B9"/>
    <w:rsid w:val="003136E9"/>
    <w:rsid w:val="00323BAC"/>
    <w:rsid w:val="00323E6C"/>
    <w:rsid w:val="00337506"/>
    <w:rsid w:val="003418B1"/>
    <w:rsid w:val="00347C9E"/>
    <w:rsid w:val="00357D39"/>
    <w:rsid w:val="003666A7"/>
    <w:rsid w:val="003A7BB9"/>
    <w:rsid w:val="003E4BF7"/>
    <w:rsid w:val="00401FCC"/>
    <w:rsid w:val="0040537C"/>
    <w:rsid w:val="00411DAF"/>
    <w:rsid w:val="00417890"/>
    <w:rsid w:val="0043500B"/>
    <w:rsid w:val="00455C1B"/>
    <w:rsid w:val="00464DB6"/>
    <w:rsid w:val="00465863"/>
    <w:rsid w:val="00486F4C"/>
    <w:rsid w:val="00491023"/>
    <w:rsid w:val="00497066"/>
    <w:rsid w:val="004B63AD"/>
    <w:rsid w:val="004B7186"/>
    <w:rsid w:val="004C2ACB"/>
    <w:rsid w:val="004F567E"/>
    <w:rsid w:val="0051158F"/>
    <w:rsid w:val="0053518A"/>
    <w:rsid w:val="00536B33"/>
    <w:rsid w:val="00546F1F"/>
    <w:rsid w:val="00553DC4"/>
    <w:rsid w:val="005569E3"/>
    <w:rsid w:val="0055798C"/>
    <w:rsid w:val="00561C2B"/>
    <w:rsid w:val="0057119A"/>
    <w:rsid w:val="005762D7"/>
    <w:rsid w:val="0058055B"/>
    <w:rsid w:val="00580DFD"/>
    <w:rsid w:val="0059006F"/>
    <w:rsid w:val="005A39CB"/>
    <w:rsid w:val="005C0CE4"/>
    <w:rsid w:val="005E320F"/>
    <w:rsid w:val="005E3E56"/>
    <w:rsid w:val="005F0B88"/>
    <w:rsid w:val="005F28E6"/>
    <w:rsid w:val="00616550"/>
    <w:rsid w:val="0063791A"/>
    <w:rsid w:val="006379C2"/>
    <w:rsid w:val="00640C4E"/>
    <w:rsid w:val="0065186E"/>
    <w:rsid w:val="00664B4A"/>
    <w:rsid w:val="00673549"/>
    <w:rsid w:val="0069317E"/>
    <w:rsid w:val="006C716F"/>
    <w:rsid w:val="006D1581"/>
    <w:rsid w:val="006D17FD"/>
    <w:rsid w:val="006E621A"/>
    <w:rsid w:val="006F2C2B"/>
    <w:rsid w:val="0071090A"/>
    <w:rsid w:val="007143EE"/>
    <w:rsid w:val="00724F9F"/>
    <w:rsid w:val="007410D3"/>
    <w:rsid w:val="00745E0C"/>
    <w:rsid w:val="00747C4C"/>
    <w:rsid w:val="00751B1C"/>
    <w:rsid w:val="00760907"/>
    <w:rsid w:val="00767042"/>
    <w:rsid w:val="00781515"/>
    <w:rsid w:val="007833F7"/>
    <w:rsid w:val="007866D7"/>
    <w:rsid w:val="00791D34"/>
    <w:rsid w:val="007A2E22"/>
    <w:rsid w:val="007A4821"/>
    <w:rsid w:val="007A74AB"/>
    <w:rsid w:val="007B4C52"/>
    <w:rsid w:val="007D0C48"/>
    <w:rsid w:val="007D6AB9"/>
    <w:rsid w:val="007E1026"/>
    <w:rsid w:val="0080321D"/>
    <w:rsid w:val="008053B0"/>
    <w:rsid w:val="0081556A"/>
    <w:rsid w:val="008312FA"/>
    <w:rsid w:val="00833014"/>
    <w:rsid w:val="0083577D"/>
    <w:rsid w:val="00840073"/>
    <w:rsid w:val="00844557"/>
    <w:rsid w:val="0086736E"/>
    <w:rsid w:val="00867612"/>
    <w:rsid w:val="0087700A"/>
    <w:rsid w:val="00885B00"/>
    <w:rsid w:val="00890462"/>
    <w:rsid w:val="008C1DCE"/>
    <w:rsid w:val="008C1EC8"/>
    <w:rsid w:val="008C5A30"/>
    <w:rsid w:val="008D174D"/>
    <w:rsid w:val="008D6D98"/>
    <w:rsid w:val="008F41BE"/>
    <w:rsid w:val="008F5ED6"/>
    <w:rsid w:val="00915142"/>
    <w:rsid w:val="00917847"/>
    <w:rsid w:val="009242DC"/>
    <w:rsid w:val="00962359"/>
    <w:rsid w:val="0097438F"/>
    <w:rsid w:val="009778C5"/>
    <w:rsid w:val="00991C1D"/>
    <w:rsid w:val="00993CB0"/>
    <w:rsid w:val="009948AA"/>
    <w:rsid w:val="00995E66"/>
    <w:rsid w:val="009F7D2C"/>
    <w:rsid w:val="00A055E0"/>
    <w:rsid w:val="00A1209B"/>
    <w:rsid w:val="00A179DE"/>
    <w:rsid w:val="00A24BD9"/>
    <w:rsid w:val="00A408D9"/>
    <w:rsid w:val="00A430D6"/>
    <w:rsid w:val="00A85C90"/>
    <w:rsid w:val="00AB747A"/>
    <w:rsid w:val="00AC5347"/>
    <w:rsid w:val="00AC7E60"/>
    <w:rsid w:val="00AD3A41"/>
    <w:rsid w:val="00AE0986"/>
    <w:rsid w:val="00B0490C"/>
    <w:rsid w:val="00B0708D"/>
    <w:rsid w:val="00B1717E"/>
    <w:rsid w:val="00B23F6E"/>
    <w:rsid w:val="00B43EB2"/>
    <w:rsid w:val="00B834E0"/>
    <w:rsid w:val="00B87A71"/>
    <w:rsid w:val="00BA305B"/>
    <w:rsid w:val="00BA6638"/>
    <w:rsid w:val="00BB3D91"/>
    <w:rsid w:val="00BB6960"/>
    <w:rsid w:val="00BB72E7"/>
    <w:rsid w:val="00BD3996"/>
    <w:rsid w:val="00BE56B6"/>
    <w:rsid w:val="00BE5B9F"/>
    <w:rsid w:val="00BF0CEC"/>
    <w:rsid w:val="00BF3CE1"/>
    <w:rsid w:val="00BF42FC"/>
    <w:rsid w:val="00C00E0C"/>
    <w:rsid w:val="00C03567"/>
    <w:rsid w:val="00C0657F"/>
    <w:rsid w:val="00C17CA3"/>
    <w:rsid w:val="00C22B65"/>
    <w:rsid w:val="00C243CA"/>
    <w:rsid w:val="00C24656"/>
    <w:rsid w:val="00C25235"/>
    <w:rsid w:val="00C41EBE"/>
    <w:rsid w:val="00C513BC"/>
    <w:rsid w:val="00C65CD1"/>
    <w:rsid w:val="00C73E14"/>
    <w:rsid w:val="00CB5224"/>
    <w:rsid w:val="00CC3A60"/>
    <w:rsid w:val="00CC4670"/>
    <w:rsid w:val="00CC7DA7"/>
    <w:rsid w:val="00CD54B2"/>
    <w:rsid w:val="00D3164C"/>
    <w:rsid w:val="00D34ECD"/>
    <w:rsid w:val="00D632A7"/>
    <w:rsid w:val="00D72F87"/>
    <w:rsid w:val="00D8112A"/>
    <w:rsid w:val="00D82731"/>
    <w:rsid w:val="00D8715E"/>
    <w:rsid w:val="00DC3DC5"/>
    <w:rsid w:val="00DC6098"/>
    <w:rsid w:val="00DE647F"/>
    <w:rsid w:val="00DF19D8"/>
    <w:rsid w:val="00DF1C22"/>
    <w:rsid w:val="00E02BC8"/>
    <w:rsid w:val="00E213D7"/>
    <w:rsid w:val="00E26A38"/>
    <w:rsid w:val="00E50866"/>
    <w:rsid w:val="00E55A8B"/>
    <w:rsid w:val="00E63AB7"/>
    <w:rsid w:val="00E71159"/>
    <w:rsid w:val="00E74EFE"/>
    <w:rsid w:val="00EC10BB"/>
    <w:rsid w:val="00EE53F5"/>
    <w:rsid w:val="00EF2169"/>
    <w:rsid w:val="00F316A8"/>
    <w:rsid w:val="00F512DF"/>
    <w:rsid w:val="00F63462"/>
    <w:rsid w:val="00F700C6"/>
    <w:rsid w:val="00F94466"/>
    <w:rsid w:val="00FA2878"/>
    <w:rsid w:val="00FC547A"/>
    <w:rsid w:val="00FD7225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4EFD2B-BBD0-48C6-A904-3A27922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9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209B"/>
    <w:pPr>
      <w:keepNext/>
      <w:tabs>
        <w:tab w:val="left" w:pos="-142"/>
      </w:tabs>
      <w:spacing w:after="0" w:line="240" w:lineRule="auto"/>
      <w:jc w:val="right"/>
      <w:outlineLvl w:val="4"/>
    </w:pPr>
    <w:rPr>
      <w:rFonts w:ascii="BaltTimesRoman" w:eastAsia="Times New Roman" w:hAnsi="BaltTimesRoman" w:cs="BaltTimes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1209B"/>
    <w:rPr>
      <w:rFonts w:ascii="BaltTimesRoman" w:hAnsi="BaltTimesRoman" w:cs="BaltTimesRoman"/>
      <w:sz w:val="20"/>
      <w:szCs w:val="20"/>
    </w:rPr>
  </w:style>
  <w:style w:type="paragraph" w:customStyle="1" w:styleId="naisc">
    <w:name w:val="naisc"/>
    <w:basedOn w:val="Normal"/>
    <w:uiPriority w:val="99"/>
    <w:rsid w:val="00A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A1209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A120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C6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6098"/>
  </w:style>
  <w:style w:type="paragraph" w:styleId="Footer">
    <w:name w:val="footer"/>
    <w:basedOn w:val="Normal"/>
    <w:link w:val="FooterChar"/>
    <w:uiPriority w:val="99"/>
    <w:rsid w:val="00DC6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6098"/>
  </w:style>
  <w:style w:type="paragraph" w:customStyle="1" w:styleId="naislab">
    <w:name w:val="naislab"/>
    <w:basedOn w:val="Normal"/>
    <w:uiPriority w:val="99"/>
    <w:rsid w:val="00BE5B9F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6931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Amata pamatfunkciju iedalījums un Informācija par amatpersonu un darbinieku mēnešalgas  (mēneša darba algas, amatalgas) apmēru sadalījumā pa amatu grupām (bruto, latos)</vt:lpstr>
    </vt:vector>
  </TitlesOfParts>
  <Company> 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Amata pamatfunkciju iedalījums un Informācija par amatpersonu un darbinieku mēnešalgas  (mēneša darba algas, amatalgas) apmēru sadalījumā pa amatu grupām (bruto, latos)</dc:title>
  <dc:subject>4.pielikums</dc:subject>
  <dc:creator>S.Frišenfelde</dc:creator>
  <cp:keywords/>
  <dc:description>67095678Solvita.Frisenfelde@fm.gov.lv</dc:description>
  <cp:lastModifiedBy>Taivo Trams</cp:lastModifiedBy>
  <cp:revision>2</cp:revision>
  <cp:lastPrinted>2014-01-14T07:48:00Z</cp:lastPrinted>
  <dcterms:created xsi:type="dcterms:W3CDTF">2015-12-16T11:33:00Z</dcterms:created>
  <dcterms:modified xsi:type="dcterms:W3CDTF">2015-12-16T11:33:00Z</dcterms:modified>
</cp:coreProperties>
</file>